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EB" w:rsidRPr="001C17EB" w:rsidRDefault="00794124" w:rsidP="001C17EB">
      <w:pPr>
        <w:pStyle w:val="Titre1"/>
        <w:jc w:val="center"/>
        <w:rPr>
          <w:sz w:val="32"/>
        </w:rPr>
      </w:pPr>
      <w:r>
        <w:rPr>
          <w:sz w:val="32"/>
        </w:rPr>
        <w:t>Références bibliographiques</w:t>
      </w:r>
    </w:p>
    <w:p w:rsidR="001C17EB" w:rsidRPr="001C17EB" w:rsidRDefault="001C17EB" w:rsidP="001C17EB"/>
    <w:p w:rsidR="00457191" w:rsidRPr="009F0F68" w:rsidRDefault="00457191" w:rsidP="00457191">
      <w:r>
        <w:t xml:space="preserve">Voir le site </w:t>
      </w:r>
      <w:proofErr w:type="spellStart"/>
      <w:r>
        <w:t>Publimath</w:t>
      </w:r>
      <w:proofErr w:type="spellEnd"/>
      <w:r>
        <w:t xml:space="preserve"> pour les fiches commentées : </w:t>
      </w:r>
      <w:hyperlink r:id="rId5" w:history="1">
        <w:r w:rsidRPr="009F238B">
          <w:rPr>
            <w:rStyle w:val="Lienhypertexte"/>
          </w:rPr>
          <w:t>http://publimath.irem.univ-mrs.fr/</w:t>
        </w:r>
      </w:hyperlink>
      <w:r>
        <w:t xml:space="preserve"> </w:t>
      </w:r>
    </w:p>
    <w:p w:rsidR="00457191" w:rsidRDefault="00457191" w:rsidP="00457191"/>
    <w:p w:rsidR="00457191" w:rsidRDefault="00457191" w:rsidP="00457191">
      <w:pPr>
        <w:pStyle w:val="Titre7"/>
      </w:pPr>
      <w:r w:rsidRPr="002819E3">
        <w:t>Documents téléchargeables</w:t>
      </w:r>
      <w:r w:rsidRPr="009F7461">
        <w:t> :</w:t>
      </w:r>
    </w:p>
    <w:p w:rsidR="00457191" w:rsidRPr="002819E3" w:rsidRDefault="00457191" w:rsidP="00457191">
      <w:pPr>
        <w:pStyle w:val="Corpsdetexte"/>
      </w:pPr>
    </w:p>
    <w:p w:rsidR="00457191" w:rsidRDefault="00457191" w:rsidP="00457191">
      <w:pPr>
        <w:pStyle w:val="biblio"/>
        <w:rPr>
          <w:lang w:val="fr-CA"/>
        </w:rPr>
      </w:pPr>
      <w:r>
        <w:rPr>
          <w:lang w:val="fr-CA"/>
        </w:rPr>
        <w:t xml:space="preserve">Programmes de collège et de l’école primaire 2008 </w:t>
      </w:r>
    </w:p>
    <w:p w:rsidR="00457191" w:rsidRDefault="00457191" w:rsidP="00457191">
      <w:pPr>
        <w:rPr>
          <w:lang w:val="fr-CA"/>
        </w:rPr>
      </w:pPr>
      <w:hyperlink r:id="rId6" w:history="1">
        <w:r w:rsidRPr="008672C5">
          <w:rPr>
            <w:rStyle w:val="Lienhypertexte"/>
            <w:lang w:val="fr-CA"/>
          </w:rPr>
          <w:t>http://eduscol.education.fr/cid48646/ecole-elementaire-cycle-des-approfondissements.html</w:t>
        </w:r>
      </w:hyperlink>
      <w:r>
        <w:rPr>
          <w:lang w:val="fr-CA"/>
        </w:rPr>
        <w:t xml:space="preserve"> </w:t>
      </w:r>
    </w:p>
    <w:p w:rsidR="00457191" w:rsidRDefault="00457191" w:rsidP="00457191">
      <w:pPr>
        <w:rPr>
          <w:lang w:val="fr-CA"/>
        </w:rPr>
      </w:pPr>
      <w:hyperlink r:id="rId7" w:history="1">
        <w:r w:rsidRPr="008672C5">
          <w:rPr>
            <w:rStyle w:val="Lienhypertexte"/>
            <w:lang w:val="fr-CA"/>
          </w:rPr>
          <w:t>http://eduscol.education.fr/cid48727/mathematiques-college.html</w:t>
        </w:r>
      </w:hyperlink>
      <w:r>
        <w:rPr>
          <w:lang w:val="fr-CA"/>
        </w:rPr>
        <w:t xml:space="preserve"> </w:t>
      </w:r>
    </w:p>
    <w:p w:rsidR="00457191" w:rsidRDefault="00457191" w:rsidP="00457191">
      <w:pPr>
        <w:pStyle w:val="biblio"/>
        <w:rPr>
          <w:lang w:val="fr-CA"/>
        </w:rPr>
      </w:pPr>
      <w:r>
        <w:rPr>
          <w:lang w:val="fr-CA"/>
        </w:rPr>
        <w:t>Document ressources pour le collège sur la « géométrie au collège »</w:t>
      </w:r>
    </w:p>
    <w:p w:rsidR="00457191" w:rsidRDefault="00457191" w:rsidP="00457191">
      <w:pPr>
        <w:rPr>
          <w:lang w:val="fr-CA"/>
        </w:rPr>
      </w:pPr>
      <w:hyperlink r:id="rId8" w:history="1">
        <w:r w:rsidRPr="008672C5">
          <w:rPr>
            <w:rStyle w:val="Lienhypertexte"/>
            <w:lang w:val="fr-CA"/>
          </w:rPr>
          <w:t>http://cache.media.eduscol.education.fr/file/Programmes/17/0/doc_acc_clg_geometrie_109170.pdf</w:t>
        </w:r>
      </w:hyperlink>
      <w:r>
        <w:rPr>
          <w:lang w:val="fr-CA"/>
        </w:rPr>
        <w:t xml:space="preserve"> </w:t>
      </w:r>
    </w:p>
    <w:p w:rsidR="00457191" w:rsidRDefault="00457191" w:rsidP="00457191">
      <w:pPr>
        <w:pStyle w:val="biblio"/>
        <w:rPr>
          <w:lang w:val="fr-CA"/>
        </w:rPr>
      </w:pPr>
      <w:r>
        <w:rPr>
          <w:lang w:val="fr-CA"/>
        </w:rPr>
        <w:t>L</w:t>
      </w:r>
      <w:r w:rsidRPr="005B507D">
        <w:rPr>
          <w:lang w:val="fr-CA"/>
        </w:rPr>
        <w:t xml:space="preserve">ogiciels </w:t>
      </w:r>
      <w:r>
        <w:rPr>
          <w:lang w:val="fr-CA"/>
        </w:rPr>
        <w:t xml:space="preserve">à télécharger : </w:t>
      </w:r>
      <w:proofErr w:type="spellStart"/>
      <w:r>
        <w:rPr>
          <w:lang w:val="fr-CA"/>
        </w:rPr>
        <w:t>Geogebra</w:t>
      </w:r>
      <w:proofErr w:type="spellEnd"/>
      <w:r>
        <w:rPr>
          <w:lang w:val="fr-CA"/>
        </w:rPr>
        <w:t xml:space="preserve"> </w:t>
      </w:r>
      <w:hyperlink r:id="rId9" w:history="1">
        <w:r w:rsidRPr="003D79C5">
          <w:rPr>
            <w:rStyle w:val="Lienhypertexte"/>
            <w:lang w:val="fr-CA"/>
          </w:rPr>
          <w:t>http://www.geogebra.org/cms/fr/</w:t>
        </w:r>
      </w:hyperlink>
      <w:r>
        <w:rPr>
          <w:lang w:val="fr-CA"/>
        </w:rPr>
        <w:t xml:space="preserve">  </w:t>
      </w:r>
    </w:p>
    <w:p w:rsidR="00457191" w:rsidRDefault="00457191" w:rsidP="00457191">
      <w:pPr>
        <w:pStyle w:val="biblio"/>
        <w:ind w:firstLine="684"/>
        <w:rPr>
          <w:lang w:val="fr-CA"/>
        </w:rPr>
      </w:pPr>
      <w:bookmarkStart w:id="0" w:name="_GoBack"/>
      <w:bookmarkEnd w:id="0"/>
      <w:proofErr w:type="gramStart"/>
      <w:r>
        <w:rPr>
          <w:lang w:val="fr-CA"/>
        </w:rPr>
        <w:t>ou</w:t>
      </w:r>
      <w:proofErr w:type="gramEnd"/>
      <w:r>
        <w:rPr>
          <w:lang w:val="fr-CA"/>
        </w:rPr>
        <w:t xml:space="preserve"> </w:t>
      </w:r>
      <w:proofErr w:type="spellStart"/>
      <w:r>
        <w:rPr>
          <w:lang w:val="fr-CA"/>
        </w:rPr>
        <w:t>CaRMetal</w:t>
      </w:r>
      <w:proofErr w:type="spellEnd"/>
      <w:r>
        <w:rPr>
          <w:lang w:val="fr-CA"/>
        </w:rPr>
        <w:t xml:space="preserve"> </w:t>
      </w:r>
      <w:hyperlink r:id="rId10" w:history="1">
        <w:r w:rsidRPr="003D79C5">
          <w:rPr>
            <w:rStyle w:val="Lienhypertexte"/>
            <w:lang w:val="fr-CA"/>
          </w:rPr>
          <w:t>http://db-maths.nuxit.net/CaRMetal/</w:t>
        </w:r>
      </w:hyperlink>
      <w:r>
        <w:rPr>
          <w:lang w:val="fr-CA"/>
        </w:rPr>
        <w:t xml:space="preserve"> </w:t>
      </w:r>
    </w:p>
    <w:p w:rsidR="00457191" w:rsidRDefault="00457191" w:rsidP="00457191">
      <w:pPr>
        <w:rPr>
          <w:lang w:val="fr-CA"/>
        </w:rPr>
      </w:pPr>
    </w:p>
    <w:p w:rsidR="00457191" w:rsidRDefault="00457191" w:rsidP="00457191">
      <w:pPr>
        <w:rPr>
          <w:lang w:val="fr-CA"/>
        </w:rPr>
      </w:pPr>
      <w:r>
        <w:rPr>
          <w:lang w:val="fr-CA"/>
        </w:rPr>
        <w:t>Certains documents sont consultables sur les sites correspondants :</w:t>
      </w:r>
    </w:p>
    <w:p w:rsidR="00457191" w:rsidRDefault="00457191" w:rsidP="00457191">
      <w:pPr>
        <w:rPr>
          <w:lang w:val="fr-CA"/>
        </w:rPr>
      </w:pPr>
      <w:r>
        <w:rPr>
          <w:lang w:val="fr-CA"/>
        </w:rPr>
        <w:t xml:space="preserve">Grand N et Petit x sur le site de l’IREM de Grenoble : </w:t>
      </w:r>
      <w:hyperlink r:id="rId11" w:history="1">
        <w:r w:rsidRPr="003D79C5">
          <w:rPr>
            <w:rStyle w:val="Lienhypertexte"/>
            <w:lang w:val="fr-CA"/>
          </w:rPr>
          <w:t>http://www-irem.ujf-grenoble.fr/irem/accueil/</w:t>
        </w:r>
      </w:hyperlink>
      <w:r>
        <w:rPr>
          <w:lang w:val="fr-CA"/>
        </w:rPr>
        <w:t xml:space="preserve"> </w:t>
      </w:r>
    </w:p>
    <w:p w:rsidR="00457191" w:rsidRDefault="00457191" w:rsidP="00457191">
      <w:pPr>
        <w:rPr>
          <w:lang w:val="fr-CA"/>
        </w:rPr>
      </w:pPr>
      <w:r>
        <w:rPr>
          <w:lang w:val="fr-CA"/>
        </w:rPr>
        <w:t xml:space="preserve">Repères IREM : </w:t>
      </w:r>
      <w:hyperlink r:id="rId12" w:history="1">
        <w:r w:rsidRPr="003D79C5">
          <w:rPr>
            <w:rStyle w:val="Lienhypertexte"/>
            <w:lang w:val="fr-CA"/>
          </w:rPr>
          <w:t>http://www.univ-irem.fr/spip.php?rubrique23</w:t>
        </w:r>
      </w:hyperlink>
      <w:r>
        <w:rPr>
          <w:lang w:val="fr-CA"/>
        </w:rPr>
        <w:t xml:space="preserve"> </w:t>
      </w:r>
    </w:p>
    <w:p w:rsidR="00457191" w:rsidRDefault="00457191" w:rsidP="00457191">
      <w:pPr>
        <w:rPr>
          <w:lang w:val="en-US"/>
        </w:rPr>
      </w:pPr>
      <w:proofErr w:type="gramStart"/>
      <w:r w:rsidRPr="005B507D">
        <w:rPr>
          <w:lang w:val="en-US"/>
        </w:rPr>
        <w:t>APMEP :</w:t>
      </w:r>
      <w:proofErr w:type="gramEnd"/>
      <w:r w:rsidRPr="005B507D">
        <w:rPr>
          <w:lang w:val="en-US"/>
        </w:rPr>
        <w:t xml:space="preserve"> </w:t>
      </w:r>
      <w:hyperlink r:id="rId13" w:history="1">
        <w:r w:rsidRPr="005B507D">
          <w:rPr>
            <w:rStyle w:val="Lienhypertexte"/>
            <w:lang w:val="en-US"/>
          </w:rPr>
          <w:t>http://www.apmep.asso.fr/</w:t>
        </w:r>
      </w:hyperlink>
      <w:r>
        <w:rPr>
          <w:lang w:val="en-US"/>
        </w:rPr>
        <w:t xml:space="preserve"> </w:t>
      </w:r>
    </w:p>
    <w:p w:rsidR="00457191" w:rsidRDefault="00457191" w:rsidP="00457191">
      <w:r w:rsidRPr="005B507D">
        <w:t>COPIRELEM sur le site de l’</w:t>
      </w:r>
      <w:r>
        <w:t xml:space="preserve">ARPEME : </w:t>
      </w:r>
      <w:hyperlink r:id="rId14" w:history="1">
        <w:r w:rsidRPr="003D79C5">
          <w:rPr>
            <w:rStyle w:val="Lienhypertexte"/>
          </w:rPr>
          <w:t>http://www.arpeme.fr/index.php?id_page=15</w:t>
        </w:r>
      </w:hyperlink>
      <w:r>
        <w:t xml:space="preserve"> </w:t>
      </w:r>
    </w:p>
    <w:p w:rsidR="00457191" w:rsidRDefault="00457191" w:rsidP="00457191"/>
    <w:p w:rsidR="00457191" w:rsidRPr="005B507D" w:rsidRDefault="00457191" w:rsidP="00457191">
      <w:pPr>
        <w:pStyle w:val="Titre7"/>
      </w:pPr>
      <w:r>
        <w:t xml:space="preserve">Articles ou ouvrages : </w:t>
      </w:r>
    </w:p>
    <w:p w:rsidR="00457191" w:rsidRPr="001C17EB" w:rsidRDefault="00457191" w:rsidP="00457191">
      <w:pPr>
        <w:pStyle w:val="biblio"/>
        <w:rPr>
          <w:caps/>
          <w:lang w:val="fr-FR"/>
        </w:rPr>
      </w:pPr>
      <w:r w:rsidRPr="008E0640">
        <w:rPr>
          <w:caps/>
          <w:lang w:val="fr-CA"/>
        </w:rPr>
        <w:t>Berthelot, R. &amp; Salin, M.H. (1993)</w:t>
      </w:r>
      <w:r w:rsidRPr="001C17EB">
        <w:rPr>
          <w:caps/>
          <w:lang w:val="fr-FR"/>
        </w:rPr>
        <w:t>:</w:t>
      </w:r>
      <w:r w:rsidRPr="008E0640">
        <w:rPr>
          <w:caps/>
          <w:lang w:val="fr-CA"/>
        </w:rPr>
        <w:t xml:space="preserve"> </w:t>
      </w:r>
      <w:r w:rsidRPr="00E95850">
        <w:rPr>
          <w:lang w:val="fr-FR"/>
        </w:rPr>
        <w:t>L’enseignement de la géométrie à l’Ecole primaire</w:t>
      </w:r>
      <w:r w:rsidRPr="001C17EB">
        <w:rPr>
          <w:i/>
          <w:lang w:val="fr-FR"/>
        </w:rPr>
        <w:t xml:space="preserve">, </w:t>
      </w:r>
      <w:r w:rsidRPr="00E95850">
        <w:rPr>
          <w:i/>
          <w:lang w:val="fr-FR"/>
        </w:rPr>
        <w:t>Grand N</w:t>
      </w:r>
      <w:r w:rsidRPr="001C17EB">
        <w:rPr>
          <w:lang w:val="fr-FR"/>
        </w:rPr>
        <w:t xml:space="preserve"> n°53;</w:t>
      </w:r>
      <w:r w:rsidRPr="001C17EB">
        <w:rPr>
          <w:i/>
          <w:lang w:val="fr-FR"/>
        </w:rPr>
        <w:t xml:space="preserve"> </w:t>
      </w:r>
      <w:r w:rsidRPr="001C17EB">
        <w:rPr>
          <w:rFonts w:ascii="Times New Roman" w:hAnsi="Times New Roman"/>
          <w:lang w:val="fr-FR"/>
        </w:rPr>
        <w:t xml:space="preserve">pp. 39-56; IREM de Grenoble </w:t>
      </w:r>
    </w:p>
    <w:p w:rsidR="00457191" w:rsidRPr="001C17EB" w:rsidRDefault="00457191" w:rsidP="00457191">
      <w:pPr>
        <w:pStyle w:val="biblio"/>
        <w:rPr>
          <w:szCs w:val="24"/>
          <w:lang w:val="fr-FR"/>
        </w:rPr>
      </w:pPr>
      <w:r w:rsidRPr="008E0640">
        <w:rPr>
          <w:caps/>
          <w:szCs w:val="24"/>
          <w:lang w:val="fr-CA"/>
        </w:rPr>
        <w:t>Berthelot, R. &amp; Salin, M.H. (1994)</w:t>
      </w:r>
      <w:r w:rsidRPr="001C17EB">
        <w:rPr>
          <w:caps/>
          <w:szCs w:val="24"/>
          <w:lang w:val="fr-FR"/>
        </w:rPr>
        <w:t>:</w:t>
      </w:r>
      <w:r w:rsidRPr="008E0640">
        <w:rPr>
          <w:caps/>
          <w:szCs w:val="24"/>
          <w:lang w:val="fr-CA"/>
        </w:rPr>
        <w:t xml:space="preserve"> </w:t>
      </w:r>
      <w:r w:rsidRPr="00E95850">
        <w:rPr>
          <w:szCs w:val="24"/>
          <w:lang w:val="fr-FR"/>
        </w:rPr>
        <w:t>Un enseignement des angles au cycle 3</w:t>
      </w:r>
      <w:r w:rsidRPr="001C17EB">
        <w:rPr>
          <w:szCs w:val="24"/>
          <w:lang w:val="fr-FR"/>
        </w:rPr>
        <w:t xml:space="preserve">, </w:t>
      </w:r>
      <w:r w:rsidRPr="00E95850">
        <w:rPr>
          <w:i/>
          <w:szCs w:val="24"/>
          <w:lang w:val="fr-FR"/>
        </w:rPr>
        <w:t>Grand N</w:t>
      </w:r>
      <w:r w:rsidRPr="001C17EB">
        <w:rPr>
          <w:szCs w:val="24"/>
          <w:lang w:val="fr-FR"/>
        </w:rPr>
        <w:t xml:space="preserve"> </w:t>
      </w:r>
      <w:r>
        <w:rPr>
          <w:szCs w:val="24"/>
          <w:lang w:val="fr-FR"/>
        </w:rPr>
        <w:t>n°56</w:t>
      </w:r>
    </w:p>
    <w:p w:rsidR="00457191" w:rsidRPr="00AB76B7" w:rsidRDefault="00457191" w:rsidP="00457191">
      <w:pPr>
        <w:pStyle w:val="biblio"/>
        <w:rPr>
          <w:szCs w:val="24"/>
          <w:lang w:val="fr-FR"/>
        </w:rPr>
      </w:pPr>
      <w:r w:rsidRPr="001C17EB">
        <w:rPr>
          <w:caps/>
          <w:szCs w:val="24"/>
          <w:lang w:val="fr-FR"/>
        </w:rPr>
        <w:t xml:space="preserve">Berthelot, R. &amp; Salin, M.H. (2001): </w:t>
      </w:r>
      <w:r w:rsidRPr="00E95850">
        <w:rPr>
          <w:szCs w:val="24"/>
          <w:lang w:val="fr-FR"/>
        </w:rPr>
        <w:t>L’enseignement de la géométrie</w:t>
      </w:r>
      <w:r w:rsidRPr="00E95850">
        <w:rPr>
          <w:caps/>
          <w:szCs w:val="24"/>
          <w:lang w:val="fr-FR"/>
        </w:rPr>
        <w:t xml:space="preserve"> </w:t>
      </w:r>
      <w:r w:rsidRPr="00E95850">
        <w:rPr>
          <w:szCs w:val="24"/>
          <w:lang w:val="fr-FR"/>
        </w:rPr>
        <w:t>au début du collège. Comment concevoir le passage de la géométrie du constat à la géométrie déductive?</w:t>
      </w:r>
      <w:r w:rsidRPr="00AB76B7">
        <w:rPr>
          <w:i/>
          <w:szCs w:val="24"/>
          <w:lang w:val="fr-FR"/>
        </w:rPr>
        <w:t xml:space="preserve"> </w:t>
      </w:r>
      <w:r w:rsidRPr="00E95850">
        <w:rPr>
          <w:i/>
          <w:szCs w:val="24"/>
          <w:lang w:val="fr-FR"/>
        </w:rPr>
        <w:t>Petit x</w:t>
      </w:r>
      <w:r>
        <w:rPr>
          <w:i/>
          <w:szCs w:val="24"/>
          <w:lang w:val="fr-FR"/>
        </w:rPr>
        <w:t> </w:t>
      </w:r>
      <w:r w:rsidRPr="00AB76B7">
        <w:rPr>
          <w:szCs w:val="24"/>
          <w:lang w:val="fr-FR"/>
        </w:rPr>
        <w:t xml:space="preserve"> n° 56</w:t>
      </w:r>
      <w:r>
        <w:rPr>
          <w:szCs w:val="24"/>
          <w:lang w:val="fr-FR"/>
        </w:rPr>
        <w:t> ; IREM de Grenoble</w:t>
      </w:r>
    </w:p>
    <w:p w:rsidR="00457191" w:rsidRPr="003C011D" w:rsidRDefault="00457191" w:rsidP="00457191">
      <w:pPr>
        <w:pStyle w:val="biblio"/>
        <w:rPr>
          <w:lang w:val="fr-FR"/>
        </w:rPr>
      </w:pPr>
      <w:r w:rsidRPr="003C011D">
        <w:rPr>
          <w:lang w:val="fr-FR"/>
        </w:rPr>
        <w:t xml:space="preserve">BRACONNE-MICHOUX, A. &amp; ZUCCHETTA H. (2010) : Formation continue en géométrie au cycle 3 : une entrée par les problèmes. Atelier A5 in Actes du </w:t>
      </w:r>
      <w:proofErr w:type="spellStart"/>
      <w:r w:rsidRPr="003C011D">
        <w:rPr>
          <w:lang w:val="fr-FR"/>
        </w:rPr>
        <w:t>XXXVlème</w:t>
      </w:r>
      <w:proofErr w:type="spellEnd"/>
      <w:r w:rsidRPr="003C011D">
        <w:rPr>
          <w:lang w:val="fr-FR"/>
        </w:rPr>
        <w:t xml:space="preserve"> Colloque de la COPIRELEM, Auch.</w:t>
      </w:r>
    </w:p>
    <w:p w:rsidR="00457191" w:rsidRPr="00270E7B" w:rsidRDefault="00457191" w:rsidP="00457191">
      <w:pPr>
        <w:pStyle w:val="biblio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BRIAND, J. ; PELTIER, </w:t>
      </w:r>
      <w:r w:rsidRPr="00270E7B">
        <w:rPr>
          <w:rStyle w:val="style4"/>
          <w:lang w:val="fr-FR"/>
        </w:rPr>
        <w:t>M-</w:t>
      </w:r>
      <w:r>
        <w:rPr>
          <w:rStyle w:val="style4"/>
          <w:lang w:val="fr-FR"/>
        </w:rPr>
        <w:t>L.</w:t>
      </w:r>
      <w:r w:rsidRPr="00270E7B">
        <w:rPr>
          <w:rStyle w:val="style4"/>
          <w:lang w:val="fr-FR"/>
        </w:rPr>
        <w:t xml:space="preserve">, </w:t>
      </w:r>
      <w:r w:rsidRPr="00E95850">
        <w:rPr>
          <w:rStyle w:val="style4"/>
          <w:caps/>
          <w:lang w:val="fr-FR"/>
        </w:rPr>
        <w:t>Ngono</w:t>
      </w:r>
      <w:r>
        <w:rPr>
          <w:rStyle w:val="style4"/>
          <w:lang w:val="fr-FR"/>
        </w:rPr>
        <w:t>, B. &amp;</w:t>
      </w:r>
      <w:r w:rsidRPr="00270E7B">
        <w:rPr>
          <w:rStyle w:val="style4"/>
          <w:lang w:val="fr-FR"/>
        </w:rPr>
        <w:t xml:space="preserve"> </w:t>
      </w:r>
      <w:r w:rsidRPr="00E95850">
        <w:rPr>
          <w:rStyle w:val="style4"/>
          <w:caps/>
          <w:lang w:val="fr-FR"/>
        </w:rPr>
        <w:t>Vergnes,</w:t>
      </w:r>
      <w:r>
        <w:rPr>
          <w:rStyle w:val="style4"/>
          <w:lang w:val="fr-FR"/>
        </w:rPr>
        <w:t xml:space="preserve"> D. (2009 et 2010) : </w:t>
      </w:r>
      <w:r w:rsidRPr="00270E7B">
        <w:rPr>
          <w:i/>
          <w:szCs w:val="24"/>
          <w:lang w:val="fr-FR"/>
        </w:rPr>
        <w:t xml:space="preserve">Euro Maths CE2, CM1, CM2, </w:t>
      </w:r>
      <w:r w:rsidRPr="00E95850">
        <w:rPr>
          <w:i/>
          <w:szCs w:val="24"/>
          <w:lang w:val="fr-FR"/>
        </w:rPr>
        <w:t>Manuels et livre du professeur</w:t>
      </w:r>
      <w:r w:rsidRPr="00270E7B">
        <w:rPr>
          <w:i/>
          <w:szCs w:val="24"/>
          <w:lang w:val="fr-FR"/>
        </w:rPr>
        <w:t>;</w:t>
      </w:r>
      <w:r>
        <w:rPr>
          <w:szCs w:val="24"/>
          <w:lang w:val="fr-FR"/>
        </w:rPr>
        <w:t xml:space="preserve"> Hatier</w:t>
      </w:r>
    </w:p>
    <w:p w:rsidR="00457191" w:rsidRPr="00BE7904" w:rsidRDefault="00457191" w:rsidP="00457191">
      <w:pPr>
        <w:pStyle w:val="biblio"/>
        <w:rPr>
          <w:b/>
          <w:szCs w:val="24"/>
          <w:lang w:val="fr-FR"/>
        </w:rPr>
      </w:pPr>
      <w:r w:rsidRPr="00BE7904">
        <w:rPr>
          <w:rFonts w:ascii="Times New Roman" w:hAnsi="Times New Roman"/>
          <w:szCs w:val="24"/>
          <w:lang w:val="fr-FR"/>
        </w:rPr>
        <w:t>BROUSSEAU</w:t>
      </w:r>
      <w:r>
        <w:rPr>
          <w:rFonts w:ascii="Times New Roman" w:hAnsi="Times New Roman"/>
          <w:szCs w:val="24"/>
          <w:lang w:val="fr-FR"/>
        </w:rPr>
        <w:t>, G. (</w:t>
      </w:r>
      <w:r w:rsidRPr="00BE7904">
        <w:rPr>
          <w:rFonts w:ascii="Times New Roman" w:hAnsi="Times New Roman"/>
          <w:szCs w:val="24"/>
          <w:lang w:val="fr-FR"/>
        </w:rPr>
        <w:t>1983</w:t>
      </w:r>
      <w:r>
        <w:rPr>
          <w:rFonts w:ascii="Times New Roman" w:hAnsi="Times New Roman"/>
          <w:szCs w:val="24"/>
          <w:lang w:val="fr-FR"/>
        </w:rPr>
        <w:t>) :</w:t>
      </w:r>
      <w:r w:rsidRPr="00BE7904">
        <w:rPr>
          <w:rFonts w:ascii="Times New Roman" w:hAnsi="Times New Roman"/>
          <w:szCs w:val="24"/>
          <w:lang w:val="fr-FR"/>
        </w:rPr>
        <w:t xml:space="preserve"> </w:t>
      </w:r>
      <w:r w:rsidRPr="008E0640">
        <w:rPr>
          <w:rFonts w:ascii="Times New Roman" w:hAnsi="Times New Roman"/>
          <w:iCs/>
          <w:szCs w:val="24"/>
          <w:lang w:val="fr-FR"/>
        </w:rPr>
        <w:t>Études de questions d'enseignement, un exemple : la géométrie </w:t>
      </w:r>
      <w:r>
        <w:rPr>
          <w:rFonts w:ascii="Times New Roman" w:hAnsi="Times New Roman"/>
          <w:i/>
          <w:iCs/>
          <w:szCs w:val="24"/>
          <w:lang w:val="fr-FR"/>
        </w:rPr>
        <w:t>;</w:t>
      </w:r>
      <w:r>
        <w:rPr>
          <w:rFonts w:ascii="Times New Roman" w:hAnsi="Times New Roman"/>
          <w:szCs w:val="24"/>
          <w:lang w:val="fr-FR"/>
        </w:rPr>
        <w:t xml:space="preserve"> </w:t>
      </w:r>
      <w:r w:rsidRPr="008E0640">
        <w:rPr>
          <w:rFonts w:ascii="Times New Roman" w:hAnsi="Times New Roman"/>
          <w:i/>
          <w:szCs w:val="24"/>
          <w:lang w:val="fr-FR"/>
        </w:rPr>
        <w:t>IMAG n°45</w:t>
      </w:r>
      <w:r>
        <w:rPr>
          <w:rFonts w:ascii="Times New Roman" w:hAnsi="Times New Roman"/>
          <w:szCs w:val="24"/>
          <w:lang w:val="fr-FR"/>
        </w:rPr>
        <w:t> ; Grenoble</w:t>
      </w:r>
    </w:p>
    <w:p w:rsidR="00457191" w:rsidRPr="00E27937" w:rsidRDefault="00457191" w:rsidP="00457191">
      <w:pPr>
        <w:pStyle w:val="biblio"/>
        <w:rPr>
          <w:szCs w:val="24"/>
          <w:lang w:val="fr-FR"/>
        </w:rPr>
      </w:pPr>
      <w:r w:rsidRPr="001C17EB">
        <w:rPr>
          <w:szCs w:val="24"/>
          <w:lang w:val="fr-FR"/>
        </w:rPr>
        <w:t xml:space="preserve">CHARNAY, R.; COMBIER, G. &amp; DUSSUC, M. - P. </w:t>
      </w:r>
      <w:r w:rsidRPr="00E27937">
        <w:rPr>
          <w:szCs w:val="24"/>
          <w:lang w:val="fr-FR"/>
        </w:rPr>
        <w:t>(2003</w:t>
      </w:r>
      <w:r>
        <w:rPr>
          <w:szCs w:val="24"/>
          <w:lang w:val="fr-FR"/>
        </w:rPr>
        <w:t xml:space="preserve"> et 2010) :</w:t>
      </w:r>
      <w:r w:rsidRPr="00E27937">
        <w:rPr>
          <w:szCs w:val="24"/>
          <w:lang w:val="fr-FR"/>
        </w:rPr>
        <w:t xml:space="preserve"> </w:t>
      </w:r>
      <w:r w:rsidRPr="00E27937">
        <w:rPr>
          <w:i/>
          <w:szCs w:val="24"/>
          <w:lang w:val="fr-FR"/>
        </w:rPr>
        <w:t xml:space="preserve">Cap maths </w:t>
      </w:r>
      <w:r>
        <w:rPr>
          <w:i/>
          <w:szCs w:val="24"/>
          <w:lang w:val="fr-FR"/>
        </w:rPr>
        <w:t xml:space="preserve">CE2, </w:t>
      </w:r>
      <w:r w:rsidRPr="00E27937">
        <w:rPr>
          <w:i/>
          <w:szCs w:val="24"/>
          <w:lang w:val="fr-FR"/>
        </w:rPr>
        <w:t>CM1,</w:t>
      </w:r>
      <w:r>
        <w:rPr>
          <w:i/>
          <w:szCs w:val="24"/>
          <w:lang w:val="fr-FR"/>
        </w:rPr>
        <w:t xml:space="preserve"> CM2</w:t>
      </w:r>
      <w:r w:rsidRPr="00E27937">
        <w:rPr>
          <w:i/>
          <w:szCs w:val="24"/>
          <w:lang w:val="fr-FR"/>
        </w:rPr>
        <w:t xml:space="preserve"> Manuel, Guide des ac</w:t>
      </w:r>
      <w:r>
        <w:rPr>
          <w:i/>
          <w:szCs w:val="24"/>
          <w:lang w:val="fr-FR"/>
        </w:rPr>
        <w:t xml:space="preserve">tivités et Fiches </w:t>
      </w:r>
      <w:proofErr w:type="spellStart"/>
      <w:r>
        <w:rPr>
          <w:i/>
          <w:szCs w:val="24"/>
          <w:lang w:val="fr-FR"/>
        </w:rPr>
        <w:t>photocopiables</w:t>
      </w:r>
      <w:proofErr w:type="spellEnd"/>
      <w:r>
        <w:rPr>
          <w:i/>
          <w:szCs w:val="24"/>
          <w:lang w:val="fr-FR"/>
        </w:rPr>
        <w:t> ;</w:t>
      </w:r>
      <w:r w:rsidRPr="00E27937">
        <w:rPr>
          <w:i/>
          <w:szCs w:val="24"/>
          <w:lang w:val="fr-FR"/>
        </w:rPr>
        <w:t xml:space="preserve"> </w:t>
      </w:r>
      <w:r>
        <w:rPr>
          <w:szCs w:val="24"/>
          <w:lang w:val="fr-FR"/>
        </w:rPr>
        <w:t>Hatier</w:t>
      </w:r>
    </w:p>
    <w:p w:rsidR="00457191" w:rsidRPr="008E0640" w:rsidRDefault="00457191" w:rsidP="00457191">
      <w:pPr>
        <w:pStyle w:val="biblio"/>
        <w:rPr>
          <w:szCs w:val="24"/>
          <w:lang w:val="fr-FR"/>
        </w:rPr>
      </w:pPr>
      <w:r w:rsidRPr="000C1B93">
        <w:rPr>
          <w:szCs w:val="24"/>
          <w:lang w:val="fr-FR"/>
        </w:rPr>
        <w:lastRenderedPageBreak/>
        <w:t>Commission Inter-IREM Premier Cycle</w:t>
      </w:r>
      <w:r>
        <w:rPr>
          <w:szCs w:val="24"/>
          <w:lang w:val="fr-FR"/>
        </w:rPr>
        <w:t xml:space="preserve"> (</w:t>
      </w:r>
      <w:r w:rsidRPr="000C1B93">
        <w:rPr>
          <w:szCs w:val="24"/>
          <w:lang w:val="fr-FR"/>
        </w:rPr>
        <w:t>1998</w:t>
      </w:r>
      <w:r>
        <w:rPr>
          <w:szCs w:val="24"/>
          <w:lang w:val="fr-FR"/>
        </w:rPr>
        <w:t>) :</w:t>
      </w:r>
      <w:r w:rsidRPr="000C1B93">
        <w:rPr>
          <w:szCs w:val="24"/>
          <w:lang w:val="fr-FR"/>
        </w:rPr>
        <w:t xml:space="preserve"> </w:t>
      </w:r>
      <w:r w:rsidRPr="000C1B93">
        <w:rPr>
          <w:i/>
          <w:szCs w:val="24"/>
          <w:lang w:val="fr-FR"/>
        </w:rPr>
        <w:t>Des mathématiques en sixième</w:t>
      </w:r>
      <w:r>
        <w:rPr>
          <w:szCs w:val="24"/>
          <w:lang w:val="fr-FR"/>
        </w:rPr>
        <w:t xml:space="preserve"> </w:t>
      </w:r>
      <w:r w:rsidRPr="003C011D">
        <w:rPr>
          <w:szCs w:val="24"/>
          <w:lang w:val="fr-FR"/>
        </w:rPr>
        <w:t>IREM de Nantes</w:t>
      </w:r>
    </w:p>
    <w:p w:rsidR="00457191" w:rsidRPr="000C1B93" w:rsidRDefault="00457191" w:rsidP="00457191">
      <w:pPr>
        <w:pStyle w:val="biblio"/>
        <w:rPr>
          <w:szCs w:val="24"/>
          <w:lang w:val="fr-FR"/>
        </w:rPr>
      </w:pPr>
      <w:r w:rsidRPr="000C1B93">
        <w:rPr>
          <w:szCs w:val="24"/>
          <w:lang w:val="fr-FR"/>
        </w:rPr>
        <w:t>Commission Inter IREM Premier Cycle, (2001</w:t>
      </w:r>
      <w:r>
        <w:rPr>
          <w:szCs w:val="24"/>
          <w:lang w:val="fr-FR"/>
        </w:rPr>
        <w:t xml:space="preserve">) : </w:t>
      </w:r>
      <w:r w:rsidRPr="000C1B93">
        <w:rPr>
          <w:i/>
          <w:szCs w:val="24"/>
          <w:lang w:val="fr-FR"/>
        </w:rPr>
        <w:t xml:space="preserve">Articulation école-collège : Des activités géométriques, </w:t>
      </w:r>
      <w:r w:rsidRPr="000C1B93">
        <w:rPr>
          <w:szCs w:val="24"/>
          <w:lang w:val="fr-FR"/>
        </w:rPr>
        <w:t>COPIRELEM</w:t>
      </w:r>
      <w:r>
        <w:rPr>
          <w:szCs w:val="24"/>
          <w:lang w:val="fr-FR"/>
        </w:rPr>
        <w:t>, IREM de Lyon</w:t>
      </w:r>
    </w:p>
    <w:p w:rsidR="00457191" w:rsidRPr="000C1B93" w:rsidRDefault="00457191" w:rsidP="00457191">
      <w:pPr>
        <w:pStyle w:val="biblio"/>
        <w:rPr>
          <w:szCs w:val="24"/>
          <w:lang w:val="fr-FR"/>
        </w:rPr>
      </w:pPr>
      <w:r w:rsidRPr="000C1B93">
        <w:rPr>
          <w:szCs w:val="24"/>
          <w:lang w:val="fr-FR"/>
        </w:rPr>
        <w:t>DUVAL</w:t>
      </w:r>
      <w:r>
        <w:rPr>
          <w:szCs w:val="24"/>
          <w:lang w:val="fr-FR"/>
        </w:rPr>
        <w:t>,</w:t>
      </w:r>
      <w:r w:rsidRPr="000C1B93">
        <w:rPr>
          <w:szCs w:val="24"/>
          <w:lang w:val="fr-FR"/>
        </w:rPr>
        <w:t xml:space="preserve"> R. </w:t>
      </w:r>
      <w:r>
        <w:rPr>
          <w:szCs w:val="24"/>
          <w:lang w:val="fr-FR"/>
        </w:rPr>
        <w:t>(</w:t>
      </w:r>
      <w:r w:rsidRPr="000C1B93">
        <w:rPr>
          <w:szCs w:val="24"/>
          <w:lang w:val="fr-FR"/>
        </w:rPr>
        <w:t>1994</w:t>
      </w:r>
      <w:r>
        <w:rPr>
          <w:szCs w:val="24"/>
          <w:lang w:val="fr-FR"/>
        </w:rPr>
        <w:t>) :</w:t>
      </w:r>
      <w:r w:rsidRPr="000C1B93">
        <w:rPr>
          <w:szCs w:val="24"/>
          <w:lang w:val="fr-FR"/>
        </w:rPr>
        <w:t xml:space="preserve"> </w:t>
      </w:r>
      <w:r w:rsidRPr="00E95850">
        <w:rPr>
          <w:szCs w:val="24"/>
          <w:lang w:val="fr-FR"/>
        </w:rPr>
        <w:t>Les différents fonctionnements d’une figure dans une démarche géométrique,</w:t>
      </w:r>
      <w:r>
        <w:rPr>
          <w:szCs w:val="24"/>
          <w:lang w:val="fr-FR"/>
        </w:rPr>
        <w:t xml:space="preserve"> </w:t>
      </w:r>
      <w:r w:rsidRPr="00E95850">
        <w:rPr>
          <w:i/>
          <w:szCs w:val="24"/>
          <w:lang w:val="fr-FR"/>
        </w:rPr>
        <w:t>Repères IREM</w:t>
      </w:r>
      <w:r>
        <w:rPr>
          <w:szCs w:val="24"/>
          <w:lang w:val="fr-FR"/>
        </w:rPr>
        <w:t>, n°17</w:t>
      </w:r>
    </w:p>
    <w:p w:rsidR="00457191" w:rsidRDefault="00457191" w:rsidP="00457191">
      <w:pPr>
        <w:pStyle w:val="biblio"/>
        <w:rPr>
          <w:szCs w:val="24"/>
          <w:lang w:val="fr-FR"/>
        </w:rPr>
      </w:pPr>
      <w:r w:rsidRPr="00A112E2">
        <w:rPr>
          <w:szCs w:val="24"/>
          <w:lang w:val="fr-FR"/>
        </w:rPr>
        <w:t xml:space="preserve">DUVAL, R. (1995) : </w:t>
      </w:r>
      <w:proofErr w:type="spellStart"/>
      <w:r w:rsidRPr="00A112E2">
        <w:rPr>
          <w:i/>
          <w:szCs w:val="24"/>
          <w:lang w:val="fr-FR"/>
        </w:rPr>
        <w:t>Semiosis</w:t>
      </w:r>
      <w:proofErr w:type="spellEnd"/>
      <w:r w:rsidRPr="00A112E2">
        <w:rPr>
          <w:i/>
          <w:szCs w:val="24"/>
          <w:lang w:val="fr-FR"/>
        </w:rPr>
        <w:t xml:space="preserve"> et pensée humaine</w:t>
      </w:r>
      <w:r>
        <w:rPr>
          <w:szCs w:val="24"/>
          <w:lang w:val="fr-FR"/>
        </w:rPr>
        <w:t>,</w:t>
      </w:r>
      <w:r w:rsidRPr="00A112E2">
        <w:rPr>
          <w:szCs w:val="24"/>
          <w:lang w:val="fr-FR"/>
        </w:rPr>
        <w:t xml:space="preserve"> éditions Peter Lang ; pp. 173-207</w:t>
      </w:r>
    </w:p>
    <w:p w:rsidR="00457191" w:rsidRDefault="00457191" w:rsidP="00457191">
      <w:pPr>
        <w:pStyle w:val="biblio"/>
        <w:rPr>
          <w:lang w:val="fr-FR"/>
        </w:rPr>
      </w:pPr>
      <w:r w:rsidRPr="00843DED">
        <w:rPr>
          <w:lang w:val="fr-FR"/>
        </w:rPr>
        <w:t>DUVAL</w:t>
      </w:r>
      <w:r>
        <w:rPr>
          <w:lang w:val="fr-FR"/>
        </w:rPr>
        <w:t>,</w:t>
      </w:r>
      <w:r w:rsidRPr="00843DED">
        <w:rPr>
          <w:lang w:val="fr-FR"/>
        </w:rPr>
        <w:t xml:space="preserve"> R. </w:t>
      </w:r>
      <w:r>
        <w:rPr>
          <w:lang w:val="fr-FR"/>
        </w:rPr>
        <w:t>&amp;</w:t>
      </w:r>
      <w:r w:rsidRPr="00843DED">
        <w:rPr>
          <w:lang w:val="fr-FR"/>
        </w:rPr>
        <w:t xml:space="preserve"> GODIN</w:t>
      </w:r>
      <w:r>
        <w:rPr>
          <w:lang w:val="fr-FR"/>
        </w:rPr>
        <w:t>, M. (2005) :</w:t>
      </w:r>
      <w:r w:rsidRPr="00843DED">
        <w:rPr>
          <w:lang w:val="fr-FR"/>
        </w:rPr>
        <w:t xml:space="preserve"> </w:t>
      </w:r>
      <w:r w:rsidRPr="00310A4A">
        <w:rPr>
          <w:i/>
          <w:iCs/>
          <w:lang w:val="fr-FR"/>
        </w:rPr>
        <w:t>Les changements de regard nécessaires sur les figures</w:t>
      </w:r>
      <w:r>
        <w:rPr>
          <w:lang w:val="fr-FR"/>
        </w:rPr>
        <w:t xml:space="preserve">, </w:t>
      </w:r>
      <w:r w:rsidRPr="00843DED">
        <w:rPr>
          <w:lang w:val="fr-FR"/>
        </w:rPr>
        <w:t>Grand N n°76</w:t>
      </w:r>
      <w:r>
        <w:rPr>
          <w:lang w:val="fr-FR"/>
        </w:rPr>
        <w:t> ; pp. 7 – 27</w:t>
      </w:r>
    </w:p>
    <w:p w:rsidR="00457191" w:rsidRPr="00153D1D" w:rsidRDefault="00457191" w:rsidP="00457191">
      <w:pPr>
        <w:pStyle w:val="bibliographie"/>
        <w:rPr>
          <w:sz w:val="24"/>
          <w:szCs w:val="24"/>
        </w:rPr>
      </w:pPr>
      <w:r w:rsidRPr="00270E7B">
        <w:rPr>
          <w:rFonts w:ascii="Times New Roman" w:hAnsi="Times New Roman"/>
          <w:sz w:val="24"/>
          <w:szCs w:val="24"/>
        </w:rPr>
        <w:t>ERMEL</w:t>
      </w:r>
      <w:r w:rsidRPr="00153D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(2006).  </w:t>
      </w:r>
      <w:r w:rsidRPr="00270E7B">
        <w:rPr>
          <w:rFonts w:ascii="Times New Roman" w:hAnsi="Times New Roman"/>
          <w:i/>
          <w:sz w:val="24"/>
          <w:szCs w:val="24"/>
        </w:rPr>
        <w:t>Apprentissages géométriques et résolution de problèmes.</w:t>
      </w:r>
      <w:r w:rsidRPr="00153D1D">
        <w:rPr>
          <w:sz w:val="24"/>
          <w:szCs w:val="24"/>
        </w:rPr>
        <w:t xml:space="preserve"> </w:t>
      </w:r>
      <w:r>
        <w:rPr>
          <w:sz w:val="24"/>
          <w:szCs w:val="24"/>
        </w:rPr>
        <w:t>Hatier</w:t>
      </w:r>
    </w:p>
    <w:p w:rsidR="00457191" w:rsidRPr="003C011D" w:rsidRDefault="00457191" w:rsidP="00457191">
      <w:pPr>
        <w:pStyle w:val="biblio"/>
        <w:rPr>
          <w:lang w:val="fr-FR"/>
        </w:rPr>
      </w:pPr>
      <w:r w:rsidRPr="003C011D">
        <w:rPr>
          <w:lang w:val="fr-FR"/>
        </w:rPr>
        <w:t>FENICHEL M., PAUVERT M., PFAFF N. (2004).  Donner du sens aux mathématiques, Espace et géométrie. Tome 1, Bordas.</w:t>
      </w:r>
    </w:p>
    <w:p w:rsidR="00457191" w:rsidRDefault="00457191" w:rsidP="00457191">
      <w:pPr>
        <w:pStyle w:val="biblio"/>
        <w:rPr>
          <w:lang w:val="fr-FR"/>
        </w:rPr>
      </w:pPr>
      <w:r w:rsidRPr="00A075F1">
        <w:rPr>
          <w:lang w:val="fr-FR"/>
        </w:rPr>
        <w:t xml:space="preserve">GRAMAIN A. (2000) </w:t>
      </w:r>
      <w:r w:rsidRPr="00A075F1">
        <w:rPr>
          <w:i/>
          <w:lang w:val="fr-FR"/>
        </w:rPr>
        <w:t>Maths et Clic 6</w:t>
      </w:r>
      <w:r w:rsidRPr="00A075F1">
        <w:rPr>
          <w:i/>
          <w:vertAlign w:val="superscript"/>
          <w:lang w:val="fr-FR"/>
        </w:rPr>
        <w:t>e</w:t>
      </w:r>
      <w:r w:rsidRPr="00A075F1">
        <w:rPr>
          <w:i/>
          <w:lang w:val="fr-FR"/>
        </w:rPr>
        <w:t>, Manuel et livre du professeur</w:t>
      </w:r>
      <w:r w:rsidRPr="00A075F1">
        <w:rPr>
          <w:lang w:val="fr-FR"/>
        </w:rPr>
        <w:t xml:space="preserve">, Bordas </w:t>
      </w:r>
    </w:p>
    <w:p w:rsidR="00457191" w:rsidRPr="00D03B92" w:rsidRDefault="00457191" w:rsidP="00457191">
      <w:pPr>
        <w:pStyle w:val="biblio"/>
        <w:rPr>
          <w:lang w:val="fr-FR"/>
        </w:rPr>
      </w:pPr>
      <w:r w:rsidRPr="00D03B92">
        <w:rPr>
          <w:lang w:val="fr-FR"/>
        </w:rPr>
        <w:t xml:space="preserve">HOUDEMENT, C &amp; KUZNIAK, A. (2003) : </w:t>
      </w:r>
      <w:r w:rsidRPr="00E95850">
        <w:rPr>
          <w:iCs/>
          <w:lang w:val="fr-FR"/>
        </w:rPr>
        <w:t>Epistémologie et didactique : un exemple de cadre conceptuel pour analyser l’enseignement de la géométrie</w:t>
      </w:r>
      <w:r w:rsidRPr="00D03B92">
        <w:rPr>
          <w:lang w:val="fr-FR"/>
        </w:rPr>
        <w:t xml:space="preserve">, </w:t>
      </w:r>
      <w:r w:rsidRPr="00E95850">
        <w:rPr>
          <w:i/>
          <w:lang w:val="fr-FR"/>
        </w:rPr>
        <w:t xml:space="preserve">Carnets de route de la COPIRELEM, </w:t>
      </w:r>
      <w:proofErr w:type="spellStart"/>
      <w:r w:rsidRPr="00E95850">
        <w:rPr>
          <w:i/>
          <w:lang w:val="fr-FR"/>
        </w:rPr>
        <w:t>Concertum</w:t>
      </w:r>
      <w:proofErr w:type="spellEnd"/>
      <w:r w:rsidRPr="00D03B92">
        <w:rPr>
          <w:lang w:val="fr-FR"/>
        </w:rPr>
        <w:t>, tome 2 ; pp. 95- 106</w:t>
      </w:r>
    </w:p>
    <w:p w:rsidR="00457191" w:rsidRPr="00D03B92" w:rsidRDefault="00457191" w:rsidP="00457191">
      <w:pPr>
        <w:pStyle w:val="biblio"/>
        <w:rPr>
          <w:lang w:val="fr-FR"/>
        </w:rPr>
      </w:pPr>
      <w:r w:rsidRPr="00D03B92">
        <w:rPr>
          <w:lang w:val="fr-FR"/>
        </w:rPr>
        <w:t>KESKESSA, B. </w:t>
      </w:r>
      <w:r>
        <w:rPr>
          <w:lang w:val="fr-FR"/>
        </w:rPr>
        <w:t>,</w:t>
      </w:r>
      <w:r w:rsidRPr="00D03B92">
        <w:rPr>
          <w:lang w:val="fr-FR"/>
        </w:rPr>
        <w:t xml:space="preserve"> PERRIN-GLORIAN, M.J. &amp; DELPLACE, J.R. (2007), </w:t>
      </w:r>
      <w:r w:rsidRPr="00E95850">
        <w:rPr>
          <w:iCs/>
          <w:lang w:val="fr-FR"/>
        </w:rPr>
        <w:t>Géométrie plane et figures au cycle 3, une démarche pour élaborer des situations visant à favoriser une mobilité du regard sur les figures de géométrie</w:t>
      </w:r>
      <w:r w:rsidRPr="00D03B92">
        <w:rPr>
          <w:lang w:val="fr-FR"/>
        </w:rPr>
        <w:t xml:space="preserve">, </w:t>
      </w:r>
      <w:r w:rsidRPr="00E95850">
        <w:rPr>
          <w:i/>
          <w:lang w:val="fr-FR"/>
        </w:rPr>
        <w:t>Grand N</w:t>
      </w:r>
      <w:r>
        <w:rPr>
          <w:lang w:val="fr-FR"/>
        </w:rPr>
        <w:t> </w:t>
      </w:r>
      <w:proofErr w:type="spellStart"/>
      <w:r w:rsidRPr="00D03B92">
        <w:rPr>
          <w:lang w:val="fr-FR"/>
        </w:rPr>
        <w:t>n</w:t>
      </w:r>
      <w:proofErr w:type="spellEnd"/>
      <w:r w:rsidRPr="00D03B92">
        <w:rPr>
          <w:lang w:val="fr-FR"/>
        </w:rPr>
        <w:t>° 79 ; pp 33 à 60</w:t>
      </w:r>
    </w:p>
    <w:p w:rsidR="00457191" w:rsidRPr="00A075F1" w:rsidRDefault="00457191" w:rsidP="00457191">
      <w:pPr>
        <w:pStyle w:val="biblio"/>
        <w:rPr>
          <w:b/>
          <w:bCs/>
          <w:lang w:val="fr-FR"/>
        </w:rPr>
      </w:pPr>
      <w:r w:rsidRPr="00A075F1">
        <w:rPr>
          <w:iCs/>
          <w:lang w:val="fr-FR"/>
        </w:rPr>
        <w:t>MULLET-MARQUIS, R. (1994) :</w:t>
      </w:r>
      <w:r w:rsidRPr="00A075F1">
        <w:rPr>
          <w:i/>
          <w:lang w:val="fr-FR"/>
        </w:rPr>
        <w:t xml:space="preserve"> </w:t>
      </w:r>
      <w:r w:rsidRPr="00A075F1">
        <w:rPr>
          <w:iCs/>
          <w:lang w:val="fr-FR"/>
        </w:rPr>
        <w:t xml:space="preserve">« Géométrie élémentaire, mon cher Watson ! » </w:t>
      </w:r>
      <w:r w:rsidRPr="003C011D">
        <w:rPr>
          <w:i/>
          <w:lang w:val="fr-FR"/>
        </w:rPr>
        <w:t xml:space="preserve">Repères IREM </w:t>
      </w:r>
      <w:r w:rsidRPr="003C011D">
        <w:rPr>
          <w:iCs/>
          <w:lang w:val="fr-FR"/>
        </w:rPr>
        <w:t>n°17 ; pp. 7-12</w:t>
      </w:r>
    </w:p>
    <w:p w:rsidR="00457191" w:rsidRPr="00D03B92" w:rsidRDefault="00457191" w:rsidP="00457191">
      <w:pPr>
        <w:pStyle w:val="biblio"/>
        <w:rPr>
          <w:lang w:val="fr-FR"/>
        </w:rPr>
      </w:pPr>
      <w:r w:rsidRPr="00D03B92">
        <w:rPr>
          <w:lang w:val="fr-FR"/>
        </w:rPr>
        <w:t xml:space="preserve">PARZYSZ, B. (2003) : </w:t>
      </w:r>
      <w:r w:rsidRPr="00E95850">
        <w:rPr>
          <w:iCs/>
          <w:lang w:val="fr-FR"/>
        </w:rPr>
        <w:t>Articulation entre perception et déduction dans une démarche géométrique en PE1</w:t>
      </w:r>
      <w:r w:rsidRPr="00D03B92">
        <w:rPr>
          <w:lang w:val="fr-FR"/>
        </w:rPr>
        <w:t xml:space="preserve">, </w:t>
      </w:r>
      <w:r w:rsidRPr="00E95850">
        <w:rPr>
          <w:i/>
          <w:lang w:val="fr-FR"/>
        </w:rPr>
        <w:t xml:space="preserve">Carnets de route de la COPIRELEM, </w:t>
      </w:r>
      <w:proofErr w:type="spellStart"/>
      <w:r w:rsidRPr="00E95850">
        <w:rPr>
          <w:i/>
          <w:lang w:val="fr-FR"/>
        </w:rPr>
        <w:t>Concertum</w:t>
      </w:r>
      <w:proofErr w:type="spellEnd"/>
      <w:r w:rsidRPr="00D03B92">
        <w:rPr>
          <w:lang w:val="fr-FR"/>
        </w:rPr>
        <w:t>, tome 2 ; pp. 107-125</w:t>
      </w:r>
    </w:p>
    <w:p w:rsidR="00457191" w:rsidRDefault="00457191" w:rsidP="00457191">
      <w:pPr>
        <w:pStyle w:val="biblio"/>
        <w:rPr>
          <w:szCs w:val="24"/>
          <w:lang w:val="fr-FR"/>
        </w:rPr>
      </w:pPr>
      <w:r w:rsidRPr="00A112E2">
        <w:rPr>
          <w:caps/>
          <w:szCs w:val="24"/>
          <w:lang w:val="fr-FR"/>
        </w:rPr>
        <w:t>Peltier</w:t>
      </w:r>
      <w:r>
        <w:rPr>
          <w:caps/>
          <w:szCs w:val="24"/>
          <w:lang w:val="fr-FR"/>
        </w:rPr>
        <w:t>, M.L.</w:t>
      </w:r>
      <w:r w:rsidRPr="00A112E2">
        <w:rPr>
          <w:szCs w:val="24"/>
          <w:lang w:val="fr-FR"/>
        </w:rPr>
        <w:t xml:space="preserve"> (2003)</w:t>
      </w:r>
      <w:r>
        <w:rPr>
          <w:szCs w:val="24"/>
          <w:lang w:val="fr-FR"/>
        </w:rPr>
        <w:t> :</w:t>
      </w:r>
      <w:r w:rsidRPr="00A112E2">
        <w:rPr>
          <w:szCs w:val="24"/>
          <w:lang w:val="fr-FR"/>
        </w:rPr>
        <w:t xml:space="preserve"> </w:t>
      </w:r>
      <w:r w:rsidRPr="00E95850">
        <w:rPr>
          <w:szCs w:val="24"/>
          <w:lang w:val="fr-FR"/>
        </w:rPr>
        <w:t>« La fleur» et « le napperon »</w:t>
      </w:r>
      <w:r>
        <w:rPr>
          <w:szCs w:val="24"/>
          <w:lang w:val="fr-FR"/>
        </w:rPr>
        <w:t> ;</w:t>
      </w:r>
      <w:r w:rsidRPr="00A112E2">
        <w:rPr>
          <w:szCs w:val="24"/>
          <w:lang w:val="fr-FR"/>
        </w:rPr>
        <w:t xml:space="preserve"> </w:t>
      </w:r>
      <w:r w:rsidRPr="00E95850">
        <w:rPr>
          <w:i/>
          <w:szCs w:val="24"/>
          <w:lang w:val="fr-FR"/>
        </w:rPr>
        <w:t>Carnets de route de la COPIRELEM</w:t>
      </w:r>
      <w:r w:rsidRPr="00A112E2">
        <w:rPr>
          <w:szCs w:val="24"/>
          <w:lang w:val="fr-FR"/>
        </w:rPr>
        <w:t xml:space="preserve">. </w:t>
      </w:r>
      <w:r w:rsidRPr="00843DED">
        <w:rPr>
          <w:szCs w:val="24"/>
          <w:lang w:val="fr-FR"/>
        </w:rPr>
        <w:t>T</w:t>
      </w:r>
      <w:r>
        <w:rPr>
          <w:szCs w:val="24"/>
          <w:lang w:val="fr-FR"/>
        </w:rPr>
        <w:t>ome 2 ; pp. 183 – 190</w:t>
      </w:r>
    </w:p>
    <w:p w:rsidR="00457191" w:rsidRPr="0033685C" w:rsidRDefault="00457191" w:rsidP="00457191">
      <w:pPr>
        <w:pStyle w:val="biblio"/>
        <w:rPr>
          <w:szCs w:val="24"/>
          <w:lang w:val="fr-FR"/>
        </w:rPr>
      </w:pPr>
      <w:r w:rsidRPr="0033685C">
        <w:rPr>
          <w:caps/>
          <w:szCs w:val="24"/>
          <w:lang w:val="fr-FR"/>
        </w:rPr>
        <w:t xml:space="preserve">Perrin-Glorian, M.J. (2012) : </w:t>
      </w:r>
      <w:r w:rsidRPr="00E95850">
        <w:rPr>
          <w:szCs w:val="24"/>
          <w:lang w:val="fr-FR"/>
        </w:rPr>
        <w:t>Vers une progression cohérente de l'enseignement de la géométrie plane du CP à la fin du collège ? Les mathématiques en marche au long de la scolarité obligatoire : L'exemple de la symétrie axiale</w:t>
      </w:r>
      <w:r w:rsidRPr="0033685C">
        <w:rPr>
          <w:caps/>
          <w:szCs w:val="24"/>
          <w:lang w:val="fr-FR"/>
        </w:rPr>
        <w:t xml:space="preserve"> ; </w:t>
      </w:r>
      <w:r w:rsidRPr="00E95850">
        <w:rPr>
          <w:i/>
          <w:szCs w:val="24"/>
          <w:lang w:val="fr-FR"/>
        </w:rPr>
        <w:t xml:space="preserve">Bulletin </w:t>
      </w:r>
      <w:r>
        <w:rPr>
          <w:i/>
          <w:szCs w:val="24"/>
          <w:lang w:val="fr-FR"/>
        </w:rPr>
        <w:t xml:space="preserve">Vert </w:t>
      </w:r>
      <w:r w:rsidRPr="00E95850">
        <w:rPr>
          <w:i/>
          <w:szCs w:val="24"/>
          <w:lang w:val="fr-FR"/>
        </w:rPr>
        <w:t>de l'APMEP</w:t>
      </w:r>
      <w:r>
        <w:rPr>
          <w:szCs w:val="24"/>
          <w:lang w:val="fr-FR"/>
        </w:rPr>
        <w:t>,</w:t>
      </w:r>
      <w:r w:rsidRPr="0033685C">
        <w:rPr>
          <w:szCs w:val="24"/>
          <w:lang w:val="fr-FR"/>
        </w:rPr>
        <w:t xml:space="preserve"> n° 499. p. 325-332</w:t>
      </w:r>
    </w:p>
    <w:p w:rsidR="00457191" w:rsidRPr="003C011D" w:rsidRDefault="00457191" w:rsidP="00457191">
      <w:pPr>
        <w:pStyle w:val="biblio"/>
        <w:rPr>
          <w:i/>
          <w:lang w:val="fr-FR"/>
        </w:rPr>
      </w:pPr>
      <w:r w:rsidRPr="001C17EB">
        <w:rPr>
          <w:lang w:val="fr-FR"/>
        </w:rPr>
        <w:t xml:space="preserve">ROYE et al. </w:t>
      </w:r>
      <w:r w:rsidRPr="00AB76B7">
        <w:rPr>
          <w:lang w:val="fr-FR"/>
        </w:rPr>
        <w:t>(2000)</w:t>
      </w:r>
      <w:r>
        <w:rPr>
          <w:lang w:val="fr-FR"/>
        </w:rPr>
        <w:t> :</w:t>
      </w:r>
      <w:r w:rsidRPr="00AB76B7">
        <w:rPr>
          <w:lang w:val="fr-FR"/>
        </w:rPr>
        <w:t xml:space="preserve"> </w:t>
      </w:r>
      <w:r w:rsidRPr="00AB76B7">
        <w:rPr>
          <w:i/>
          <w:lang w:val="fr-FR"/>
        </w:rPr>
        <w:t>Travaux géométriques : Apprendre à résoudre des problèmes</w:t>
      </w:r>
      <w:r>
        <w:rPr>
          <w:i/>
          <w:lang w:val="fr-FR"/>
        </w:rPr>
        <w:t> ;</w:t>
      </w:r>
      <w:r w:rsidRPr="00AB76B7">
        <w:rPr>
          <w:i/>
          <w:lang w:val="fr-FR"/>
        </w:rPr>
        <w:t xml:space="preserve"> cycle 3</w:t>
      </w:r>
      <w:r w:rsidRPr="00AB76B7">
        <w:rPr>
          <w:lang w:val="fr-FR"/>
        </w:rPr>
        <w:t>, IREM de Lille, CRDP Nord - Pas de Calais</w:t>
      </w:r>
      <w:r>
        <w:rPr>
          <w:lang w:val="fr-FR"/>
        </w:rPr>
        <w:t>,</w:t>
      </w:r>
      <w:r w:rsidRPr="00AB76B7">
        <w:rPr>
          <w:lang w:val="fr-FR"/>
        </w:rPr>
        <w:t xml:space="preserve"> SC</w:t>
      </w:r>
      <w:r w:rsidRPr="00983B63">
        <w:rPr>
          <w:caps/>
          <w:lang w:val="fr-FR"/>
        </w:rPr>
        <w:t>é</w:t>
      </w:r>
      <w:r w:rsidRPr="00AB76B7">
        <w:rPr>
          <w:lang w:val="fr-FR"/>
        </w:rPr>
        <w:t>REN</w:t>
      </w:r>
      <w:r w:rsidRPr="003C011D">
        <w:rPr>
          <w:i/>
          <w:lang w:val="fr-FR"/>
        </w:rPr>
        <w:t xml:space="preserve"> </w:t>
      </w:r>
    </w:p>
    <w:p w:rsidR="00457191" w:rsidRPr="003C011D" w:rsidRDefault="00457191" w:rsidP="00457191">
      <w:pPr>
        <w:pStyle w:val="biblio"/>
        <w:rPr>
          <w:lang w:val="fr-FR"/>
        </w:rPr>
      </w:pPr>
      <w:r w:rsidRPr="003C011D">
        <w:rPr>
          <w:i/>
          <w:lang w:val="fr-FR"/>
        </w:rPr>
        <w:t xml:space="preserve">Manuels </w:t>
      </w:r>
      <w:proofErr w:type="spellStart"/>
      <w:r w:rsidRPr="003C011D">
        <w:rPr>
          <w:i/>
          <w:lang w:val="fr-FR"/>
        </w:rPr>
        <w:t>Sésamath</w:t>
      </w:r>
      <w:proofErr w:type="spellEnd"/>
      <w:r w:rsidRPr="003C011D">
        <w:rPr>
          <w:i/>
          <w:lang w:val="fr-FR"/>
        </w:rPr>
        <w:t xml:space="preserve"> 6è </w:t>
      </w:r>
      <w:r w:rsidRPr="003C011D">
        <w:rPr>
          <w:lang w:val="fr-FR"/>
        </w:rPr>
        <w:t>(2013)</w:t>
      </w:r>
      <w:r>
        <w:rPr>
          <w:lang w:val="fr-FR"/>
        </w:rPr>
        <w:t xml:space="preserve"> </w:t>
      </w:r>
      <w:hyperlink r:id="rId15" w:history="1">
        <w:r w:rsidRPr="008672C5">
          <w:rPr>
            <w:rStyle w:val="Lienhypertexte"/>
            <w:lang w:val="fr-FR"/>
          </w:rPr>
          <w:t>http://manuel.sesamath.net/</w:t>
        </w:r>
      </w:hyperlink>
      <w:r>
        <w:rPr>
          <w:lang w:val="fr-FR"/>
        </w:rPr>
        <w:t xml:space="preserve"> </w:t>
      </w:r>
    </w:p>
    <w:p w:rsidR="00457191" w:rsidRPr="003C011D" w:rsidRDefault="00457191" w:rsidP="00457191">
      <w:pPr>
        <w:pStyle w:val="biblio"/>
        <w:rPr>
          <w:lang w:val="fr-FR"/>
        </w:rPr>
      </w:pPr>
      <w:r w:rsidRPr="003C011D">
        <w:rPr>
          <w:iCs/>
          <w:lang w:val="fr-FR"/>
        </w:rPr>
        <w:t>VERGNAUD, G (1990). :</w:t>
      </w:r>
      <w:r w:rsidRPr="003C011D">
        <w:rPr>
          <w:i/>
          <w:lang w:val="fr-FR"/>
        </w:rPr>
        <w:t xml:space="preserve"> </w:t>
      </w:r>
      <w:r w:rsidRPr="003C011D">
        <w:rPr>
          <w:iCs/>
          <w:lang w:val="fr-FR"/>
        </w:rPr>
        <w:t>« Théorie des champs conceptuels »</w:t>
      </w:r>
      <w:r w:rsidRPr="003C011D">
        <w:rPr>
          <w:i/>
          <w:lang w:val="fr-FR"/>
        </w:rPr>
        <w:t xml:space="preserve"> Recherche en Didactique des Mathématiques ; Vol. 10- 2.3 ; pp. 133-170</w:t>
      </w:r>
    </w:p>
    <w:p w:rsidR="00457191" w:rsidRDefault="00457191" w:rsidP="00457191"/>
    <w:p w:rsidR="001C17EB" w:rsidRDefault="001C17EB" w:rsidP="00457191">
      <w:pPr>
        <w:pStyle w:val="biblio"/>
        <w:rPr>
          <w:lang w:val="fr-FR"/>
        </w:rPr>
      </w:pPr>
    </w:p>
    <w:sectPr w:rsidR="001C17EB" w:rsidSect="0007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17EB"/>
    <w:rsid w:val="00015E86"/>
    <w:rsid w:val="00025F45"/>
    <w:rsid w:val="00040989"/>
    <w:rsid w:val="0007053D"/>
    <w:rsid w:val="000B7509"/>
    <w:rsid w:val="000F117F"/>
    <w:rsid w:val="00101A18"/>
    <w:rsid w:val="0017231B"/>
    <w:rsid w:val="00172B22"/>
    <w:rsid w:val="00177E3F"/>
    <w:rsid w:val="00184CFC"/>
    <w:rsid w:val="001862F6"/>
    <w:rsid w:val="00186CE5"/>
    <w:rsid w:val="001B609C"/>
    <w:rsid w:val="001C17EB"/>
    <w:rsid w:val="001E3D62"/>
    <w:rsid w:val="00270E7B"/>
    <w:rsid w:val="00275A11"/>
    <w:rsid w:val="00281E14"/>
    <w:rsid w:val="00283B00"/>
    <w:rsid w:val="002D5197"/>
    <w:rsid w:val="002D6758"/>
    <w:rsid w:val="002E5C9B"/>
    <w:rsid w:val="00307EBA"/>
    <w:rsid w:val="00314D9F"/>
    <w:rsid w:val="00321876"/>
    <w:rsid w:val="003225F6"/>
    <w:rsid w:val="0033685C"/>
    <w:rsid w:val="00376E21"/>
    <w:rsid w:val="00386489"/>
    <w:rsid w:val="003A04E9"/>
    <w:rsid w:val="003D0DB8"/>
    <w:rsid w:val="003D6CC5"/>
    <w:rsid w:val="00401355"/>
    <w:rsid w:val="0040727F"/>
    <w:rsid w:val="004115FD"/>
    <w:rsid w:val="00422B42"/>
    <w:rsid w:val="00424F2C"/>
    <w:rsid w:val="00435E5F"/>
    <w:rsid w:val="0044227C"/>
    <w:rsid w:val="00444807"/>
    <w:rsid w:val="00457191"/>
    <w:rsid w:val="004615AE"/>
    <w:rsid w:val="004732E7"/>
    <w:rsid w:val="004807CD"/>
    <w:rsid w:val="004826CC"/>
    <w:rsid w:val="004B308C"/>
    <w:rsid w:val="004B58C1"/>
    <w:rsid w:val="004C124A"/>
    <w:rsid w:val="004F2795"/>
    <w:rsid w:val="005050A6"/>
    <w:rsid w:val="00507B92"/>
    <w:rsid w:val="00507BCC"/>
    <w:rsid w:val="00514B01"/>
    <w:rsid w:val="00523732"/>
    <w:rsid w:val="005248F9"/>
    <w:rsid w:val="00542CA6"/>
    <w:rsid w:val="005504A7"/>
    <w:rsid w:val="00550D13"/>
    <w:rsid w:val="005C4FD2"/>
    <w:rsid w:val="005D1910"/>
    <w:rsid w:val="00635E3C"/>
    <w:rsid w:val="00670E47"/>
    <w:rsid w:val="0067275B"/>
    <w:rsid w:val="00680502"/>
    <w:rsid w:val="00692BFB"/>
    <w:rsid w:val="006D0F06"/>
    <w:rsid w:val="006E2A90"/>
    <w:rsid w:val="006F44DF"/>
    <w:rsid w:val="006F4AB5"/>
    <w:rsid w:val="007106A0"/>
    <w:rsid w:val="00741986"/>
    <w:rsid w:val="00743722"/>
    <w:rsid w:val="0075557C"/>
    <w:rsid w:val="007565A8"/>
    <w:rsid w:val="00763808"/>
    <w:rsid w:val="00776792"/>
    <w:rsid w:val="00794124"/>
    <w:rsid w:val="007B2E8B"/>
    <w:rsid w:val="007C5318"/>
    <w:rsid w:val="007D0339"/>
    <w:rsid w:val="007D2AD0"/>
    <w:rsid w:val="007F7CA7"/>
    <w:rsid w:val="008008D0"/>
    <w:rsid w:val="008068E3"/>
    <w:rsid w:val="008354C4"/>
    <w:rsid w:val="00841967"/>
    <w:rsid w:val="008776E0"/>
    <w:rsid w:val="00883B66"/>
    <w:rsid w:val="008872A5"/>
    <w:rsid w:val="008B0156"/>
    <w:rsid w:val="008B4650"/>
    <w:rsid w:val="008C4055"/>
    <w:rsid w:val="008C46A3"/>
    <w:rsid w:val="008C4E47"/>
    <w:rsid w:val="008C5623"/>
    <w:rsid w:val="008C6A3F"/>
    <w:rsid w:val="008E0640"/>
    <w:rsid w:val="00927904"/>
    <w:rsid w:val="00927EE0"/>
    <w:rsid w:val="00943984"/>
    <w:rsid w:val="00957230"/>
    <w:rsid w:val="00967641"/>
    <w:rsid w:val="00971453"/>
    <w:rsid w:val="0097198C"/>
    <w:rsid w:val="00983FB3"/>
    <w:rsid w:val="009966A3"/>
    <w:rsid w:val="009D71B7"/>
    <w:rsid w:val="009E32F1"/>
    <w:rsid w:val="009E5997"/>
    <w:rsid w:val="00A006C8"/>
    <w:rsid w:val="00A04568"/>
    <w:rsid w:val="00A51A46"/>
    <w:rsid w:val="00A77168"/>
    <w:rsid w:val="00A807F2"/>
    <w:rsid w:val="00A96115"/>
    <w:rsid w:val="00A97455"/>
    <w:rsid w:val="00AB401B"/>
    <w:rsid w:val="00AB4CDF"/>
    <w:rsid w:val="00AD2418"/>
    <w:rsid w:val="00AE04BD"/>
    <w:rsid w:val="00B1343B"/>
    <w:rsid w:val="00B47455"/>
    <w:rsid w:val="00B53B0E"/>
    <w:rsid w:val="00B92FEC"/>
    <w:rsid w:val="00BC6E50"/>
    <w:rsid w:val="00BE0F09"/>
    <w:rsid w:val="00C11018"/>
    <w:rsid w:val="00C13BF9"/>
    <w:rsid w:val="00CA53C2"/>
    <w:rsid w:val="00CB4DC5"/>
    <w:rsid w:val="00CB7717"/>
    <w:rsid w:val="00CD4DA7"/>
    <w:rsid w:val="00D8036A"/>
    <w:rsid w:val="00D866FB"/>
    <w:rsid w:val="00DC7446"/>
    <w:rsid w:val="00DC7ABE"/>
    <w:rsid w:val="00DD4200"/>
    <w:rsid w:val="00DE6D71"/>
    <w:rsid w:val="00DF54A7"/>
    <w:rsid w:val="00E05B6B"/>
    <w:rsid w:val="00E258B4"/>
    <w:rsid w:val="00E31FC0"/>
    <w:rsid w:val="00E67172"/>
    <w:rsid w:val="00E95850"/>
    <w:rsid w:val="00EA715A"/>
    <w:rsid w:val="00EC56BD"/>
    <w:rsid w:val="00F07D10"/>
    <w:rsid w:val="00F509D2"/>
    <w:rsid w:val="00F57ED9"/>
    <w:rsid w:val="00F62BAD"/>
    <w:rsid w:val="00F65D84"/>
    <w:rsid w:val="00FB0AD5"/>
    <w:rsid w:val="00FB656A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3D"/>
  </w:style>
  <w:style w:type="paragraph" w:styleId="Titre1">
    <w:name w:val="heading 1"/>
    <w:basedOn w:val="Normal"/>
    <w:next w:val="Normal"/>
    <w:link w:val="Titre1Car"/>
    <w:uiPriority w:val="9"/>
    <w:qFormat/>
    <w:rsid w:val="001C1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1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71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blio">
    <w:name w:val="biblio"/>
    <w:basedOn w:val="Normal"/>
    <w:rsid w:val="001C17EB"/>
    <w:pPr>
      <w:keepLines/>
      <w:autoSpaceDE w:val="0"/>
      <w:autoSpaceDN w:val="0"/>
      <w:adjustRightInd w:val="0"/>
      <w:spacing w:after="0" w:line="240" w:lineRule="atLeast"/>
      <w:ind w:left="1440" w:hanging="1440"/>
      <w:jc w:val="both"/>
    </w:pPr>
    <w:rPr>
      <w:rFonts w:ascii="TimesNewRomanPS" w:eastAsia="Times New Roman" w:hAnsi="TimesNewRomanPS" w:cs="Times New Roman"/>
      <w:sz w:val="24"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1C1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C1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3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85C"/>
    <w:rPr>
      <w:rFonts w:ascii="Tahoma" w:hAnsi="Tahoma" w:cs="Tahoma"/>
      <w:sz w:val="16"/>
      <w:szCs w:val="16"/>
    </w:rPr>
  </w:style>
  <w:style w:type="paragraph" w:customStyle="1" w:styleId="bibliographie">
    <w:name w:val="bibliographie"/>
    <w:basedOn w:val="Normal"/>
    <w:rsid w:val="003A04E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" w:eastAsia="SimSun" w:hAnsi="Times" w:cs="Times New Roman"/>
      <w:szCs w:val="20"/>
      <w:lang w:eastAsia="fr-FR"/>
    </w:rPr>
  </w:style>
  <w:style w:type="character" w:customStyle="1" w:styleId="style4">
    <w:name w:val="style4"/>
    <w:basedOn w:val="Policepardfaut"/>
    <w:rsid w:val="00270E7B"/>
  </w:style>
  <w:style w:type="character" w:customStyle="1" w:styleId="Titre7Car">
    <w:name w:val="Titre 7 Car"/>
    <w:basedOn w:val="Policepardfaut"/>
    <w:link w:val="Titre7"/>
    <w:uiPriority w:val="9"/>
    <w:semiHidden/>
    <w:rsid w:val="00457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rsid w:val="00457191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457191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57191"/>
    <w:rPr>
      <w:rFonts w:ascii="Times New Roman" w:eastAsia="Times New Roman" w:hAnsi="Times New Roman" w:cs="Times New Roman"/>
      <w:spacing w:val="-5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1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1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blio">
    <w:name w:val="biblio"/>
    <w:basedOn w:val="Normal"/>
    <w:rsid w:val="001C17EB"/>
    <w:pPr>
      <w:keepLines/>
      <w:autoSpaceDE w:val="0"/>
      <w:autoSpaceDN w:val="0"/>
      <w:adjustRightInd w:val="0"/>
      <w:spacing w:after="0" w:line="240" w:lineRule="atLeast"/>
      <w:ind w:left="1440" w:hanging="1440"/>
      <w:jc w:val="both"/>
    </w:pPr>
    <w:rPr>
      <w:rFonts w:ascii="TimesNewRomanPS" w:eastAsia="Times New Roman" w:hAnsi="TimesNewRomanPS" w:cs="Times New Roman"/>
      <w:sz w:val="24"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1C1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C1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3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85C"/>
    <w:rPr>
      <w:rFonts w:ascii="Tahoma" w:hAnsi="Tahoma" w:cs="Tahoma"/>
      <w:sz w:val="16"/>
      <w:szCs w:val="16"/>
    </w:rPr>
  </w:style>
  <w:style w:type="paragraph" w:customStyle="1" w:styleId="bibliographie">
    <w:name w:val="bibliographie"/>
    <w:basedOn w:val="Normal"/>
    <w:rsid w:val="003A04E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" w:eastAsia="SimSun" w:hAnsi="Times" w:cs="Times New Roman"/>
      <w:szCs w:val="20"/>
      <w:lang w:eastAsia="fr-FR"/>
    </w:rPr>
  </w:style>
  <w:style w:type="character" w:customStyle="1" w:styleId="style4">
    <w:name w:val="style4"/>
    <w:basedOn w:val="Policepardfaut"/>
    <w:rsid w:val="0027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che.media.eduscol.education.fr/file/Programmes/17/0/doc_acc_clg_geometrie_109170.pdf" TargetMode="External"/><Relationship Id="rId13" Type="http://schemas.openxmlformats.org/officeDocument/2006/relationships/hyperlink" Target="http://www.apmep.asso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scol.education.fr/cid48727/mathematiques-college.html" TargetMode="External"/><Relationship Id="rId12" Type="http://schemas.openxmlformats.org/officeDocument/2006/relationships/hyperlink" Target="http://www.univ-irem.fr/spip.php?rubrique2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duscol.education.fr/cid48646/ecole-elementaire-cycle-des-approfondissements.html" TargetMode="External"/><Relationship Id="rId11" Type="http://schemas.openxmlformats.org/officeDocument/2006/relationships/hyperlink" Target="http://www-irem.ujf-grenoble.fr/irem/accueil/" TargetMode="External"/><Relationship Id="rId5" Type="http://schemas.openxmlformats.org/officeDocument/2006/relationships/hyperlink" Target="http://publimath.irem.univ-mrs.fr/" TargetMode="External"/><Relationship Id="rId15" Type="http://schemas.openxmlformats.org/officeDocument/2006/relationships/hyperlink" Target="http://manuel.sesamath.net/" TargetMode="External"/><Relationship Id="rId10" Type="http://schemas.openxmlformats.org/officeDocument/2006/relationships/hyperlink" Target="http://db-maths.nuxit.net/CaRMe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gebra.org/cms/fr/" TargetMode="External"/><Relationship Id="rId14" Type="http://schemas.openxmlformats.org/officeDocument/2006/relationships/hyperlink" Target="http://www.arpeme.fr/index.php?id_page=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7</cp:revision>
  <dcterms:created xsi:type="dcterms:W3CDTF">2013-01-13T22:15:00Z</dcterms:created>
  <dcterms:modified xsi:type="dcterms:W3CDTF">2013-06-11T16:43:00Z</dcterms:modified>
</cp:coreProperties>
</file>